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附件1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授课专家情况介绍</w:t>
      </w:r>
    </w:p>
    <w:bookmarkEnd w:id="0"/>
    <w:p>
      <w:pPr>
        <w:widowControl w:val="0"/>
        <w:adjustRightInd/>
        <w:snapToGrid/>
        <w:spacing w:after="0"/>
        <w:jc w:val="center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（排名不分先后）</w:t>
      </w:r>
    </w:p>
    <w:p>
      <w:pPr>
        <w:spacing w:line="560" w:lineRule="exact"/>
        <w:ind w:firstLine="606" w:firstLineChars="200"/>
        <w:rPr>
          <w:rFonts w:ascii="仿宋" w:hAnsi="仿宋" w:eastAsia="仿宋" w:cs="仿宋"/>
          <w:spacing w:val="22"/>
          <w:sz w:val="30"/>
          <w:szCs w:val="30"/>
        </w:rPr>
      </w:pPr>
      <w:r>
        <w:rPr>
          <w:rFonts w:ascii="仿宋" w:hAnsi="仿宋" w:eastAsia="仿宋" w:cs="仿宋"/>
          <w:b/>
          <w:bCs/>
          <w:spacing w:val="1"/>
          <w:sz w:val="30"/>
          <w:szCs w:val="30"/>
        </w:rPr>
        <w:t>丁素</w:t>
      </w:r>
      <w:r>
        <w:rPr>
          <w:rFonts w:hint="eastAsia" w:ascii="仿宋" w:hAnsi="仿宋" w:eastAsia="仿宋" w:cs="仿宋"/>
          <w:spacing w:val="1"/>
          <w:sz w:val="30"/>
          <w:szCs w:val="30"/>
        </w:rPr>
        <w:t>：</w:t>
      </w:r>
      <w:r>
        <w:rPr>
          <w:rFonts w:ascii="仿宋" w:hAnsi="仿宋" w:eastAsia="仿宋" w:cs="仿宋"/>
          <w:spacing w:val="1"/>
          <w:sz w:val="30"/>
          <w:szCs w:val="30"/>
        </w:rPr>
        <w:t>中共河南省委党校(河</w:t>
      </w:r>
      <w:r>
        <w:rPr>
          <w:rFonts w:ascii="仿宋" w:hAnsi="仿宋" w:eastAsia="仿宋" w:cs="仿宋"/>
          <w:sz w:val="30"/>
          <w:szCs w:val="30"/>
        </w:rPr>
        <w:t>南行政学院)教育长，党组成</w:t>
      </w:r>
      <w:r>
        <w:rPr>
          <w:rFonts w:ascii="仿宋" w:hAnsi="仿宋" w:eastAsia="仿宋" w:cs="仿宋"/>
          <w:spacing w:val="2"/>
          <w:sz w:val="30"/>
          <w:szCs w:val="30"/>
        </w:rPr>
        <w:t>员，二级教授，省委党校研究生导师组组长</w:t>
      </w:r>
      <w:r>
        <w:rPr>
          <w:rFonts w:ascii="仿宋" w:hAnsi="仿宋" w:eastAsia="仿宋" w:cs="仿宋"/>
          <w:spacing w:val="1"/>
          <w:sz w:val="30"/>
          <w:szCs w:val="30"/>
        </w:rPr>
        <w:t>，兼任郑州大学、</w:t>
      </w:r>
      <w:r>
        <w:rPr>
          <w:rFonts w:ascii="仿宋" w:hAnsi="仿宋" w:eastAsia="仿宋" w:cs="仿宋"/>
          <w:spacing w:val="36"/>
          <w:sz w:val="30"/>
          <w:szCs w:val="30"/>
        </w:rPr>
        <w:t>河</w:t>
      </w:r>
      <w:r>
        <w:rPr>
          <w:rFonts w:ascii="仿宋" w:hAnsi="仿宋" w:eastAsia="仿宋" w:cs="仿宋"/>
          <w:spacing w:val="20"/>
          <w:sz w:val="30"/>
          <w:szCs w:val="30"/>
        </w:rPr>
        <w:t>南</w:t>
      </w:r>
      <w:r>
        <w:rPr>
          <w:rFonts w:ascii="仿宋" w:hAnsi="仿宋" w:eastAsia="仿宋" w:cs="仿宋"/>
          <w:spacing w:val="18"/>
          <w:sz w:val="30"/>
          <w:szCs w:val="30"/>
        </w:rPr>
        <w:t>大学</w:t>
      </w:r>
      <w:r>
        <w:rPr>
          <w:rFonts w:hint="eastAsia" w:ascii="仿宋" w:hAnsi="仿宋" w:eastAsia="仿宋" w:cs="仿宋"/>
          <w:spacing w:val="18"/>
          <w:sz w:val="30"/>
          <w:szCs w:val="30"/>
        </w:rPr>
        <w:t>、</w:t>
      </w:r>
      <w:r>
        <w:rPr>
          <w:rFonts w:ascii="仿宋" w:hAnsi="仿宋" w:eastAsia="仿宋" w:cs="仿宋"/>
          <w:spacing w:val="18"/>
          <w:sz w:val="30"/>
          <w:szCs w:val="30"/>
        </w:rPr>
        <w:t>中国未来发展研究会等数所高校和研究会的外聘</w:t>
      </w:r>
      <w:r>
        <w:rPr>
          <w:rFonts w:ascii="仿宋" w:hAnsi="仿宋" w:eastAsia="仿宋" w:cs="仿宋"/>
          <w:spacing w:val="6"/>
          <w:sz w:val="30"/>
          <w:szCs w:val="30"/>
        </w:rPr>
        <w:t>教授</w:t>
      </w:r>
      <w:r>
        <w:rPr>
          <w:rFonts w:ascii="仿宋" w:hAnsi="仿宋" w:eastAsia="仿宋" w:cs="仿宋"/>
          <w:spacing w:val="5"/>
          <w:sz w:val="30"/>
          <w:szCs w:val="30"/>
        </w:rPr>
        <w:t>、</w:t>
      </w:r>
      <w:r>
        <w:rPr>
          <w:rFonts w:ascii="仿宋" w:hAnsi="仿宋" w:eastAsia="仿宋" w:cs="仿宋"/>
          <w:spacing w:val="3"/>
          <w:sz w:val="30"/>
          <w:szCs w:val="30"/>
        </w:rPr>
        <w:t>研究员，并任中国城市社会学学会副会长、河南省社</w:t>
      </w:r>
      <w:r>
        <w:rPr>
          <w:rFonts w:ascii="仿宋" w:hAnsi="仿宋" w:eastAsia="仿宋" w:cs="仿宋"/>
          <w:spacing w:val="36"/>
          <w:sz w:val="30"/>
          <w:szCs w:val="30"/>
        </w:rPr>
        <w:t>会</w:t>
      </w:r>
      <w:r>
        <w:rPr>
          <w:rFonts w:ascii="仿宋" w:hAnsi="仿宋" w:eastAsia="仿宋" w:cs="仿宋"/>
          <w:spacing w:val="20"/>
          <w:sz w:val="30"/>
          <w:szCs w:val="30"/>
        </w:rPr>
        <w:t>工</w:t>
      </w:r>
      <w:r>
        <w:rPr>
          <w:rFonts w:ascii="仿宋" w:hAnsi="仿宋" w:eastAsia="仿宋" w:cs="仿宋"/>
          <w:spacing w:val="18"/>
          <w:sz w:val="30"/>
          <w:szCs w:val="30"/>
        </w:rPr>
        <w:t>作教育协会副会长、河南省哲学学会秘书长等职。是省</w:t>
      </w:r>
      <w:r>
        <w:rPr>
          <w:rFonts w:ascii="仿宋" w:hAnsi="仿宋" w:eastAsia="仿宋" w:cs="仿宋"/>
          <w:spacing w:val="22"/>
          <w:sz w:val="30"/>
          <w:szCs w:val="30"/>
        </w:rPr>
        <w:t>委</w:t>
      </w:r>
      <w:r>
        <w:rPr>
          <w:rFonts w:ascii="仿宋" w:hAnsi="仿宋" w:eastAsia="仿宋" w:cs="仿宋"/>
          <w:spacing w:val="11"/>
          <w:sz w:val="30"/>
          <w:szCs w:val="30"/>
        </w:rPr>
        <w:t>、省政府命名的河南省优秀专家。丁素同志长期从事哲学、</w:t>
      </w:r>
      <w:r>
        <w:rPr>
          <w:rFonts w:ascii="仿宋" w:hAnsi="仿宋" w:eastAsia="仿宋" w:cs="仿宋"/>
          <w:spacing w:val="20"/>
          <w:sz w:val="30"/>
          <w:szCs w:val="30"/>
        </w:rPr>
        <w:t>社</w:t>
      </w:r>
      <w:r>
        <w:rPr>
          <w:rFonts w:ascii="仿宋" w:hAnsi="仿宋" w:eastAsia="仿宋" w:cs="仿宋"/>
          <w:spacing w:val="13"/>
          <w:sz w:val="30"/>
          <w:szCs w:val="30"/>
        </w:rPr>
        <w:t>会学、文化学的教学和研究，曾主持完成过国家和省部科</w:t>
      </w:r>
      <w:r>
        <w:rPr>
          <w:rFonts w:ascii="仿宋" w:hAnsi="仿宋" w:eastAsia="仿宋" w:cs="仿宋"/>
          <w:spacing w:val="12"/>
          <w:sz w:val="30"/>
          <w:szCs w:val="30"/>
        </w:rPr>
        <w:t>研</w:t>
      </w:r>
      <w:r>
        <w:rPr>
          <w:rFonts w:ascii="仿宋" w:hAnsi="仿宋" w:eastAsia="仿宋" w:cs="仿宋"/>
          <w:spacing w:val="7"/>
          <w:sz w:val="30"/>
          <w:szCs w:val="30"/>
        </w:rPr>
        <w:t>项</w:t>
      </w:r>
      <w:r>
        <w:rPr>
          <w:rFonts w:ascii="仿宋" w:hAnsi="仿宋" w:eastAsia="仿宋" w:cs="仿宋"/>
          <w:spacing w:val="6"/>
          <w:sz w:val="30"/>
          <w:szCs w:val="30"/>
        </w:rPr>
        <w:t>目8个，发表过百余篇文章，撰写主编过</w:t>
      </w:r>
      <w:r>
        <w:rPr>
          <w:rFonts w:ascii="仿宋" w:hAnsi="仿宋" w:eastAsia="仿宋"/>
          <w:spacing w:val="6"/>
          <w:sz w:val="30"/>
          <w:szCs w:val="30"/>
        </w:rPr>
        <w:t xml:space="preserve">10 </w:t>
      </w:r>
      <w:r>
        <w:rPr>
          <w:rFonts w:ascii="仿宋" w:hAnsi="仿宋" w:eastAsia="仿宋" w:cs="仿宋"/>
          <w:spacing w:val="6"/>
          <w:sz w:val="30"/>
          <w:szCs w:val="30"/>
        </w:rPr>
        <w:t>多部著作，</w:t>
      </w:r>
      <w:r>
        <w:rPr>
          <w:rFonts w:ascii="仿宋" w:hAnsi="仿宋" w:eastAsia="仿宋" w:cs="仿宋"/>
          <w:spacing w:val="40"/>
          <w:sz w:val="30"/>
          <w:szCs w:val="30"/>
        </w:rPr>
        <w:t>获</w:t>
      </w:r>
      <w:r>
        <w:rPr>
          <w:rFonts w:ascii="仿宋" w:hAnsi="仿宋" w:eastAsia="仿宋" w:cs="仿宋"/>
          <w:spacing w:val="22"/>
          <w:sz w:val="30"/>
          <w:szCs w:val="30"/>
        </w:rPr>
        <w:t>得过国家精神文明建设“五个一 ”工程奖和多项省部奖项。</w:t>
      </w:r>
    </w:p>
    <w:p>
      <w:pPr>
        <w:spacing w:line="560" w:lineRule="exact"/>
        <w:ind w:firstLine="690" w:firstLineChars="200"/>
        <w:rPr>
          <w:rFonts w:ascii="仿宋" w:hAnsi="仿宋" w:eastAsia="仿宋" w:cs="仿宋"/>
          <w:spacing w:val="2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22"/>
          <w:sz w:val="30"/>
          <w:szCs w:val="30"/>
        </w:rPr>
        <w:t>张占仓</w:t>
      </w:r>
      <w:r>
        <w:rPr>
          <w:rFonts w:hint="eastAsia" w:ascii="仿宋" w:hAnsi="仿宋" w:eastAsia="仿宋" w:cs="仿宋"/>
          <w:spacing w:val="22"/>
          <w:sz w:val="30"/>
          <w:szCs w:val="30"/>
        </w:rPr>
        <w:t>：博士，研究员，经济地理学专家，曾任河南省社会科学院长，博士生导师。1995年7 月被授予河南省优秀专家称号，1996 年11月被授予国家有突出贡献中青年专家称号。现任河南省人民政府参事，一直从事经济地理学研究工作，主攻方向为区域规划与发展战略研究，长期深入基层进行调查研究，以学术思想敏感、善于组织重大研究项目著称，科研成果和学术论著丰硕。2010年参加中原经济区建设规划纲要研究，任河南省博士后创新团队管理学学科主任，2011年参加中原经济区政策研究，任中国科协第八次全国代表大会代表，参加中国科协第八次全国代表大会。先后承担国家和省级重大、重点研究任务35项，已经完成33项科研成果。其中，荣获河南省科技进步二等奖12项，三等奖5项。主编副主编学术著作20多部，发表学术论文100多篇。</w:t>
      </w:r>
    </w:p>
    <w:p>
      <w:pPr>
        <w:spacing w:line="560" w:lineRule="exact"/>
        <w:ind w:firstLine="606" w:firstLineChars="200"/>
        <w:rPr>
          <w:rFonts w:ascii="仿宋" w:hAnsi="仿宋" w:eastAsia="仿宋" w:cs="仿宋"/>
          <w:bCs/>
          <w:spacing w:val="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1"/>
          <w:sz w:val="30"/>
          <w:szCs w:val="30"/>
        </w:rPr>
        <w:t>岳佐华：</w:t>
      </w:r>
      <w:r>
        <w:rPr>
          <w:rFonts w:hint="eastAsia" w:ascii="仿宋" w:hAnsi="仿宋" w:eastAsia="仿宋" w:cs="仿宋"/>
          <w:bCs/>
          <w:spacing w:val="1"/>
          <w:sz w:val="30"/>
          <w:szCs w:val="30"/>
        </w:rPr>
        <w:t>博士，河南科技大学教授，硕士生导师。现任洛阳市牡丹产业化研究中心主任，河南科技大学 “郑洛三工业走廊”研究中心主任，经济学院农村发展研究中心主任。兼任洛阳市经济社会发展研究中心研究员。主要从事农业经济管理、农村区域发展、人力资源管理等方面的教学与研究工作。研究生主讲课程：农业经济与管理，农业经济案例分析，农村区域规划（2010-2011级）。先后承担过《洛阳市国民经济与社会发展第十二个五年规划》、《洛阳市老工业基地振兴规划》、《洛阳市涧西、西工、老城特色商业区规划》《洛阳市高新区装备制造业发展规划》《洛阳市伊川县产业集聚区循环经济发展规划》《洛宁县扶贫开发规划（2010-2020）》等十余个服务地方经济的项目。</w:t>
      </w:r>
    </w:p>
    <w:p>
      <w:pPr>
        <w:spacing w:line="560" w:lineRule="exact"/>
        <w:ind w:firstLine="606" w:firstLineChars="200"/>
        <w:rPr>
          <w:rFonts w:ascii="仿宋" w:hAnsi="仿宋" w:eastAsia="仿宋" w:cs="仿宋"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spacing w:val="1"/>
          <w:sz w:val="30"/>
          <w:szCs w:val="30"/>
        </w:rPr>
        <w:t>许茂伟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：副教授，洛阳理工学院经济与管理学院电子商务系主任。主要研究领域：企业电子商务战略规划、实施和运营；企业网络推广；农村电子商务。长期从事电子商务培训、实施和咨询工作，帮扶企业实施电子商务。河南省教育厅电子商务专业教学指导委员会委员、洛阳市商务局评标专家、洛阳市电子商务协会监事，洛阳市中青年人文社科专家。主编《网络营销》、《电子商务实务》等多部教材，《网络营销》为教育部职业教育“十二五”规划教材，主持或参与多项省市级项目，在核心期刊发表多篇论文。</w:t>
      </w:r>
    </w:p>
    <w:p>
      <w:pPr>
        <w:spacing w:line="560" w:lineRule="exact"/>
        <w:ind w:firstLine="606" w:firstLineChars="200"/>
        <w:rPr>
          <w:rFonts w:ascii="仿宋" w:hAnsi="仿宋" w:eastAsia="仿宋" w:cs="仿宋"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spacing w:val="1"/>
          <w:sz w:val="30"/>
          <w:szCs w:val="30"/>
        </w:rPr>
        <w:t>邵鸿翔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，副教授，工学博士。毕业于陆军工程大学信息与通信工程专业，多年来一致从事通信技术、无线资源分配、博弈论和强化学习等相关技术的研究工作，主持和参与国家级、省级项目4项，发表学术论文30余篇，其中SCI/EI检索10篇。2021年获洛阳理工学院优秀教师称号。</w:t>
      </w:r>
    </w:p>
    <w:p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</w:p>
    <w:p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</w:p>
    <w:p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</w:p>
    <w:p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</w:p>
    <w:p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</w:p>
    <w:p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</w:p>
    <w:p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</w:p>
    <w:p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</w:p>
    <w:p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</w:p>
    <w:p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</w:p>
    <w:p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</w:p>
    <w:p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</w:p>
    <w:p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</w:p>
    <w:p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ZTY1OTZiZTVhNjQyNGQyNDM4NGVmODgxNzFmOWQifQ=="/>
  </w:docVars>
  <w:rsids>
    <w:rsidRoot w:val="7C2309E1"/>
    <w:rsid w:val="7C23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2024-07-18T03:02:00Z</dcterms:created>
  <dc:creator>马</dc:creator>
  <cp:lastModifiedBy>马</cp:lastModifiedBy>
  <dcterms:modified xsi:type="dcterms:W3CDTF">2024-07-18T03:03:07Z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43E9E7C1C63B431BABCA5F217D5C2E96_11</vt:lpwstr>
  </property>
</Properties>
</file>